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49830">
      <w:pPr>
        <w:pStyle w:val="5"/>
        <w:widowControl w:val="0"/>
        <w:spacing w:line="600" w:lineRule="exact"/>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w:t>
      </w:r>
    </w:p>
    <w:p w14:paraId="03D1120C">
      <w:pPr>
        <w:pStyle w:val="5"/>
        <w:widowControl w:val="0"/>
        <w:spacing w:line="600" w:lineRule="exact"/>
        <w:jc w:val="center"/>
        <w:rPr>
          <w:rFonts w:ascii="Times New Roman" w:hAnsi="Times New Roman" w:eastAsia="仿宋" w:cs="Times New Roman"/>
          <w:b/>
          <w:sz w:val="32"/>
          <w:szCs w:val="32"/>
        </w:rPr>
      </w:pPr>
      <w:r>
        <w:rPr>
          <w:rFonts w:ascii="Times New Roman" w:hAnsi="Times New Roman" w:eastAsia="仿宋" w:cs="Times New Roman"/>
          <w:b/>
          <w:sz w:val="32"/>
          <w:szCs w:val="32"/>
        </w:rPr>
        <w:t>锅炉维护保养任务对应表</w:t>
      </w:r>
    </w:p>
    <w:p w14:paraId="11D56729"/>
    <w:tbl>
      <w:tblPr>
        <w:tblStyle w:val="7"/>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746"/>
        <w:gridCol w:w="5199"/>
        <w:gridCol w:w="2597"/>
      </w:tblGrid>
      <w:tr w14:paraId="05F9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tcBorders>
              <w:bottom w:val="single" w:color="auto" w:sz="4" w:space="0"/>
            </w:tcBorders>
            <w:vAlign w:val="center"/>
          </w:tcPr>
          <w:p w14:paraId="2D37C621">
            <w:pPr>
              <w:spacing w:line="300" w:lineRule="auto"/>
              <w:jc w:val="center"/>
              <w:rPr>
                <w:rFonts w:ascii="宋体" w:hAnsi="宋体"/>
                <w:sz w:val="24"/>
              </w:rPr>
            </w:pPr>
            <w:r>
              <w:rPr>
                <w:rFonts w:hint="eastAsia" w:ascii="宋体" w:hAnsi="宋体"/>
                <w:sz w:val="24"/>
              </w:rPr>
              <w:t>序号</w:t>
            </w:r>
          </w:p>
        </w:tc>
        <w:tc>
          <w:tcPr>
            <w:tcW w:w="1746" w:type="dxa"/>
            <w:tcBorders>
              <w:bottom w:val="single" w:color="auto" w:sz="4" w:space="0"/>
            </w:tcBorders>
            <w:vAlign w:val="center"/>
          </w:tcPr>
          <w:p w14:paraId="65222E85">
            <w:pPr>
              <w:spacing w:line="300" w:lineRule="auto"/>
              <w:jc w:val="center"/>
              <w:rPr>
                <w:rFonts w:ascii="宋体" w:hAnsi="宋体"/>
                <w:sz w:val="24"/>
              </w:rPr>
            </w:pPr>
            <w:r>
              <w:rPr>
                <w:rFonts w:hint="eastAsia" w:ascii="宋体" w:hAnsi="宋体"/>
                <w:sz w:val="24"/>
              </w:rPr>
              <w:t>维保项目</w:t>
            </w:r>
          </w:p>
        </w:tc>
        <w:tc>
          <w:tcPr>
            <w:tcW w:w="5199" w:type="dxa"/>
            <w:tcBorders>
              <w:bottom w:val="single" w:color="auto" w:sz="4" w:space="0"/>
              <w:right w:val="single" w:color="000000" w:sz="4" w:space="0"/>
            </w:tcBorders>
            <w:vAlign w:val="center"/>
          </w:tcPr>
          <w:p w14:paraId="666519C2">
            <w:pPr>
              <w:spacing w:line="300" w:lineRule="auto"/>
              <w:jc w:val="center"/>
              <w:rPr>
                <w:rFonts w:ascii="宋体" w:hAnsi="宋体"/>
                <w:sz w:val="24"/>
              </w:rPr>
            </w:pPr>
            <w:r>
              <w:rPr>
                <w:rFonts w:hint="eastAsia" w:ascii="宋体" w:hAnsi="宋体"/>
                <w:sz w:val="24"/>
              </w:rPr>
              <w:t>工作说明</w:t>
            </w:r>
          </w:p>
        </w:tc>
        <w:tc>
          <w:tcPr>
            <w:tcW w:w="2597" w:type="dxa"/>
            <w:tcBorders>
              <w:left w:val="single" w:color="000000" w:sz="4" w:space="0"/>
              <w:bottom w:val="single" w:color="auto" w:sz="4" w:space="0"/>
            </w:tcBorders>
            <w:vAlign w:val="center"/>
          </w:tcPr>
          <w:p w14:paraId="3D574223">
            <w:pPr>
              <w:spacing w:line="300" w:lineRule="auto"/>
              <w:jc w:val="center"/>
              <w:rPr>
                <w:rFonts w:ascii="宋体" w:hAnsi="宋体"/>
                <w:sz w:val="24"/>
              </w:rPr>
            </w:pPr>
            <w:r>
              <w:rPr>
                <w:rFonts w:hint="eastAsia" w:ascii="宋体" w:hAnsi="宋体"/>
                <w:sz w:val="24"/>
              </w:rPr>
              <w:t>拟维保频次</w:t>
            </w:r>
          </w:p>
          <w:p w14:paraId="6472C2E1">
            <w:pPr>
              <w:spacing w:line="300" w:lineRule="auto"/>
              <w:jc w:val="center"/>
              <w:rPr>
                <w:rFonts w:ascii="宋体" w:hAnsi="宋体"/>
                <w:sz w:val="24"/>
              </w:rPr>
            </w:pPr>
            <w:r>
              <w:rPr>
                <w:rFonts w:hint="eastAsia" w:ascii="宋体" w:hAnsi="宋体"/>
                <w:sz w:val="24"/>
              </w:rPr>
              <w:t>（次/台·年）</w:t>
            </w:r>
          </w:p>
        </w:tc>
      </w:tr>
      <w:tr w14:paraId="2120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shd w:val="pct10" w:color="FFFFFF" w:fill="auto"/>
            <w:vAlign w:val="center"/>
          </w:tcPr>
          <w:p w14:paraId="1A6D5CE6">
            <w:pPr>
              <w:spacing w:line="300" w:lineRule="auto"/>
              <w:jc w:val="center"/>
              <w:rPr>
                <w:rFonts w:ascii="宋体" w:hAnsi="宋体"/>
                <w:sz w:val="24"/>
              </w:rPr>
            </w:pPr>
            <w:r>
              <w:rPr>
                <w:rFonts w:hint="eastAsia" w:ascii="宋体" w:hAnsi="宋体"/>
                <w:sz w:val="24"/>
              </w:rPr>
              <w:t>1</w:t>
            </w:r>
          </w:p>
        </w:tc>
        <w:tc>
          <w:tcPr>
            <w:tcW w:w="1746" w:type="dxa"/>
            <w:shd w:val="pct10" w:color="FFFFFF" w:fill="auto"/>
            <w:vAlign w:val="center"/>
          </w:tcPr>
          <w:p w14:paraId="621B3536">
            <w:pPr>
              <w:spacing w:line="300" w:lineRule="auto"/>
              <w:jc w:val="center"/>
              <w:rPr>
                <w:rFonts w:ascii="宋体" w:hAnsi="宋体"/>
                <w:sz w:val="24"/>
              </w:rPr>
            </w:pPr>
            <w:r>
              <w:rPr>
                <w:rFonts w:hint="eastAsia" w:ascii="宋体" w:hAnsi="宋体"/>
                <w:sz w:val="24"/>
              </w:rPr>
              <w:t>入网检查</w:t>
            </w:r>
          </w:p>
        </w:tc>
        <w:tc>
          <w:tcPr>
            <w:tcW w:w="5199" w:type="dxa"/>
            <w:tcBorders>
              <w:right w:val="single" w:color="000000" w:sz="4" w:space="0"/>
            </w:tcBorders>
            <w:shd w:val="pct10" w:color="FFFFFF" w:fill="auto"/>
            <w:vAlign w:val="center"/>
          </w:tcPr>
          <w:p w14:paraId="6794DB09">
            <w:pPr>
              <w:spacing w:line="300" w:lineRule="auto"/>
              <w:ind w:firstLine="420"/>
              <w:rPr>
                <w:rFonts w:ascii="宋体" w:hAnsi="宋体"/>
                <w:sz w:val="24"/>
              </w:rPr>
            </w:pPr>
            <w:r>
              <w:rPr>
                <w:rFonts w:hint="eastAsia" w:ascii="宋体" w:hAnsi="宋体"/>
                <w:sz w:val="24"/>
              </w:rPr>
              <w:t>由专业的维保工程师及业务人员上门对锅炉房及系统进行一次全面而系统的检查和记录，同时建立客户设备档案。主要包括：</w:t>
            </w:r>
          </w:p>
          <w:p w14:paraId="62609BEF">
            <w:pPr>
              <w:spacing w:line="300" w:lineRule="auto"/>
              <w:rPr>
                <w:rFonts w:ascii="宋体" w:hAnsi="宋体"/>
                <w:sz w:val="24"/>
              </w:rPr>
            </w:pPr>
            <w:r>
              <w:rPr>
                <w:rFonts w:hint="eastAsia" w:ascii="宋体" w:hAnsi="宋体" w:cs="宋体"/>
                <w:kern w:val="0"/>
                <w:sz w:val="24"/>
              </w:rPr>
              <w:fldChar w:fldCharType="begin"/>
            </w:r>
            <w:r>
              <w:rPr>
                <w:rFonts w:hint="eastAsia" w:ascii="宋体" w:hAnsi="宋体" w:cs="宋体"/>
                <w:kern w:val="0"/>
                <w:sz w:val="24"/>
              </w:rPr>
              <w:instrText xml:space="preserve"> = 1 \* GB3 </w:instrText>
            </w:r>
            <w:r>
              <w:rPr>
                <w:rFonts w:hint="eastAsia" w:ascii="宋体" w:hAnsi="宋体" w:cs="宋体"/>
                <w:kern w:val="0"/>
                <w:sz w:val="24"/>
              </w:rPr>
              <w:fldChar w:fldCharType="separate"/>
            </w:r>
            <w:r>
              <w:rPr>
                <w:rFonts w:hint="eastAsia" w:ascii="宋体" w:hAnsi="宋体" w:cs="宋体"/>
                <w:kern w:val="0"/>
                <w:sz w:val="24"/>
              </w:rPr>
              <w:t>①</w:t>
            </w:r>
            <w:r>
              <w:rPr>
                <w:rFonts w:hint="eastAsia" w:ascii="宋体" w:hAnsi="宋体" w:cs="宋体"/>
                <w:kern w:val="0"/>
                <w:sz w:val="24"/>
              </w:rPr>
              <w:fldChar w:fldCharType="end"/>
            </w:r>
            <w:r>
              <w:rPr>
                <w:rFonts w:hint="eastAsia" w:ascii="宋体" w:hAnsi="宋体"/>
                <w:sz w:val="24"/>
              </w:rPr>
              <w:t>燃烧系统检查；②电控系统检查；③安全连锁检查；④锅炉本体、保温及其他检查；⑤锅炉房附属管道及保温检查；⑥锅炉安全附件检查；⑦锅炉使用登记信息，建立客户及设备档案。</w:t>
            </w:r>
          </w:p>
        </w:tc>
        <w:tc>
          <w:tcPr>
            <w:tcW w:w="2597" w:type="dxa"/>
            <w:tcBorders>
              <w:left w:val="single" w:color="000000" w:sz="4" w:space="0"/>
            </w:tcBorders>
            <w:shd w:val="pct10" w:color="FFFFFF" w:fill="auto"/>
            <w:vAlign w:val="center"/>
          </w:tcPr>
          <w:p w14:paraId="1E4B223D">
            <w:pPr>
              <w:spacing w:line="300" w:lineRule="auto"/>
              <w:jc w:val="center"/>
              <w:rPr>
                <w:rFonts w:ascii="宋体" w:hAnsi="宋体"/>
                <w:sz w:val="24"/>
              </w:rPr>
            </w:pPr>
            <w:r>
              <w:rPr>
                <w:rFonts w:hint="eastAsia" w:ascii="宋体" w:hAnsi="宋体"/>
                <w:sz w:val="24"/>
              </w:rPr>
              <w:t>1</w:t>
            </w:r>
          </w:p>
        </w:tc>
      </w:tr>
      <w:tr w14:paraId="4CB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657A543F">
            <w:pPr>
              <w:spacing w:line="300" w:lineRule="auto"/>
              <w:jc w:val="center"/>
              <w:rPr>
                <w:rFonts w:ascii="宋体" w:hAnsi="宋体"/>
                <w:sz w:val="24"/>
              </w:rPr>
            </w:pPr>
            <w:r>
              <w:rPr>
                <w:rFonts w:hint="eastAsia" w:ascii="宋体" w:hAnsi="宋体"/>
                <w:sz w:val="24"/>
              </w:rPr>
              <w:t xml:space="preserve"> 2</w:t>
            </w:r>
          </w:p>
        </w:tc>
        <w:tc>
          <w:tcPr>
            <w:tcW w:w="1746" w:type="dxa"/>
            <w:vAlign w:val="center"/>
          </w:tcPr>
          <w:p w14:paraId="65D1F5D0">
            <w:pPr>
              <w:spacing w:line="300" w:lineRule="auto"/>
              <w:jc w:val="center"/>
              <w:rPr>
                <w:rFonts w:ascii="宋体" w:hAnsi="宋体"/>
                <w:sz w:val="24"/>
              </w:rPr>
            </w:pPr>
            <w:r>
              <w:rPr>
                <w:rFonts w:hint="eastAsia" w:ascii="宋体" w:hAnsi="宋体"/>
                <w:sz w:val="24"/>
              </w:rPr>
              <w:t>系统巡检</w:t>
            </w:r>
          </w:p>
        </w:tc>
        <w:tc>
          <w:tcPr>
            <w:tcW w:w="5199" w:type="dxa"/>
            <w:tcBorders>
              <w:right w:val="single" w:color="000000" w:sz="4" w:space="0"/>
            </w:tcBorders>
            <w:vAlign w:val="center"/>
          </w:tcPr>
          <w:p w14:paraId="544EF5AA">
            <w:pPr>
              <w:spacing w:line="300" w:lineRule="auto"/>
              <w:jc w:val="left"/>
              <w:rPr>
                <w:rFonts w:ascii="宋体" w:hAnsi="宋体"/>
                <w:sz w:val="24"/>
              </w:rPr>
            </w:pPr>
            <w:r>
              <w:rPr>
                <w:rFonts w:hint="eastAsia" w:ascii="宋体" w:hAnsi="宋体"/>
                <w:sz w:val="24"/>
              </w:rPr>
              <w:t>定期检查系统、设备、阀门及仪表运行工况、外观，及时排除潜在的运行故障及安全隐患；</w:t>
            </w:r>
          </w:p>
        </w:tc>
        <w:tc>
          <w:tcPr>
            <w:tcW w:w="2597" w:type="dxa"/>
            <w:tcBorders>
              <w:left w:val="single" w:color="000000" w:sz="4" w:space="0"/>
            </w:tcBorders>
            <w:vAlign w:val="center"/>
          </w:tcPr>
          <w:p w14:paraId="16E202DE">
            <w:pPr>
              <w:spacing w:line="300" w:lineRule="auto"/>
              <w:jc w:val="center"/>
              <w:rPr>
                <w:rFonts w:ascii="宋体" w:hAnsi="宋体"/>
                <w:sz w:val="24"/>
              </w:rPr>
            </w:pPr>
            <w:r>
              <w:rPr>
                <w:rFonts w:hint="eastAsia" w:ascii="宋体" w:hAnsi="宋体"/>
                <w:sz w:val="24"/>
              </w:rPr>
              <w:t>6（1/3/5/7/9/11月前10号）</w:t>
            </w:r>
          </w:p>
        </w:tc>
      </w:tr>
      <w:tr w14:paraId="5934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70D71211">
            <w:pPr>
              <w:spacing w:line="300" w:lineRule="auto"/>
              <w:jc w:val="center"/>
              <w:rPr>
                <w:rFonts w:ascii="宋体" w:hAnsi="宋体"/>
                <w:sz w:val="24"/>
              </w:rPr>
            </w:pPr>
            <w:r>
              <w:rPr>
                <w:rFonts w:hint="eastAsia" w:ascii="宋体" w:hAnsi="宋体"/>
                <w:sz w:val="24"/>
              </w:rPr>
              <w:t>3</w:t>
            </w:r>
          </w:p>
        </w:tc>
        <w:tc>
          <w:tcPr>
            <w:tcW w:w="1746" w:type="dxa"/>
            <w:vAlign w:val="center"/>
          </w:tcPr>
          <w:p w14:paraId="53D7F098">
            <w:pPr>
              <w:spacing w:line="300" w:lineRule="auto"/>
              <w:jc w:val="center"/>
              <w:rPr>
                <w:rFonts w:ascii="宋体" w:hAnsi="宋体"/>
                <w:sz w:val="24"/>
              </w:rPr>
            </w:pPr>
            <w:r>
              <w:rPr>
                <w:rFonts w:hint="eastAsia" w:ascii="宋体" w:hAnsi="宋体"/>
                <w:sz w:val="24"/>
              </w:rPr>
              <w:t>安全评估</w:t>
            </w:r>
          </w:p>
        </w:tc>
        <w:tc>
          <w:tcPr>
            <w:tcW w:w="5199" w:type="dxa"/>
            <w:tcBorders>
              <w:right w:val="single" w:color="000000" w:sz="4" w:space="0"/>
            </w:tcBorders>
            <w:vAlign w:val="center"/>
          </w:tcPr>
          <w:p w14:paraId="40D4199D">
            <w:pPr>
              <w:spacing w:line="300" w:lineRule="auto"/>
              <w:jc w:val="left"/>
              <w:rPr>
                <w:rFonts w:ascii="宋体" w:hAnsi="宋体"/>
                <w:sz w:val="24"/>
              </w:rPr>
            </w:pPr>
            <w:r>
              <w:rPr>
                <w:rFonts w:hint="eastAsia" w:ascii="宋体" w:hAnsi="宋体"/>
                <w:sz w:val="24"/>
              </w:rPr>
              <w:t>定期进行锅炉及锅炉配套设备安全检查和安全评估，及时准确地排查安全隐患；</w:t>
            </w:r>
          </w:p>
        </w:tc>
        <w:tc>
          <w:tcPr>
            <w:tcW w:w="2597" w:type="dxa"/>
            <w:tcBorders>
              <w:left w:val="single" w:color="000000" w:sz="4" w:space="0"/>
            </w:tcBorders>
            <w:vAlign w:val="center"/>
          </w:tcPr>
          <w:p w14:paraId="59BA827C">
            <w:pPr>
              <w:spacing w:line="300" w:lineRule="auto"/>
              <w:jc w:val="center"/>
              <w:rPr>
                <w:rFonts w:ascii="宋体" w:hAnsi="宋体"/>
                <w:sz w:val="24"/>
              </w:rPr>
            </w:pPr>
            <w:r>
              <w:rPr>
                <w:rFonts w:hint="eastAsia" w:ascii="宋体" w:hAnsi="宋体"/>
                <w:sz w:val="24"/>
              </w:rPr>
              <w:t>4（每季度第一个月）</w:t>
            </w:r>
          </w:p>
        </w:tc>
      </w:tr>
      <w:tr w14:paraId="6D32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436FB308">
            <w:pPr>
              <w:spacing w:line="300" w:lineRule="auto"/>
              <w:jc w:val="center"/>
              <w:rPr>
                <w:rFonts w:ascii="宋体" w:hAnsi="宋体"/>
                <w:sz w:val="24"/>
              </w:rPr>
            </w:pPr>
            <w:r>
              <w:rPr>
                <w:rFonts w:hint="eastAsia" w:ascii="宋体" w:hAnsi="宋体"/>
                <w:sz w:val="24"/>
              </w:rPr>
              <w:t>4</w:t>
            </w:r>
          </w:p>
        </w:tc>
        <w:tc>
          <w:tcPr>
            <w:tcW w:w="1746" w:type="dxa"/>
            <w:vAlign w:val="center"/>
          </w:tcPr>
          <w:p w14:paraId="6D50C63C">
            <w:pPr>
              <w:spacing w:line="300" w:lineRule="auto"/>
              <w:jc w:val="center"/>
              <w:rPr>
                <w:rFonts w:ascii="宋体" w:hAnsi="宋体"/>
                <w:sz w:val="24"/>
              </w:rPr>
            </w:pPr>
            <w:r>
              <w:rPr>
                <w:rFonts w:hint="eastAsia" w:ascii="宋体" w:hAnsi="宋体"/>
                <w:sz w:val="24"/>
              </w:rPr>
              <w:t>水泵性能监测</w:t>
            </w:r>
          </w:p>
        </w:tc>
        <w:tc>
          <w:tcPr>
            <w:tcW w:w="5199" w:type="dxa"/>
            <w:tcBorders>
              <w:right w:val="single" w:color="000000" w:sz="4" w:space="0"/>
            </w:tcBorders>
            <w:vAlign w:val="center"/>
          </w:tcPr>
          <w:p w14:paraId="0CC46F47">
            <w:pPr>
              <w:spacing w:line="300" w:lineRule="auto"/>
              <w:jc w:val="left"/>
              <w:rPr>
                <w:rFonts w:ascii="宋体" w:hAnsi="宋体"/>
                <w:sz w:val="24"/>
              </w:rPr>
            </w:pPr>
            <w:r>
              <w:rPr>
                <w:rFonts w:hint="eastAsia" w:ascii="宋体" w:hAnsi="宋体"/>
                <w:sz w:val="24"/>
              </w:rPr>
              <w:t>定期进行水泵运行性能检测，评估水泵实际运行参数与额定运行参数差异，查找故障隐患；</w:t>
            </w:r>
          </w:p>
        </w:tc>
        <w:tc>
          <w:tcPr>
            <w:tcW w:w="2597" w:type="dxa"/>
            <w:tcBorders>
              <w:left w:val="single" w:color="000000" w:sz="4" w:space="0"/>
            </w:tcBorders>
            <w:vAlign w:val="center"/>
          </w:tcPr>
          <w:p w14:paraId="0779F5AA">
            <w:pPr>
              <w:spacing w:line="300" w:lineRule="auto"/>
              <w:jc w:val="center"/>
              <w:rPr>
                <w:rFonts w:ascii="宋体" w:hAnsi="宋体"/>
                <w:sz w:val="24"/>
              </w:rPr>
            </w:pPr>
            <w:r>
              <w:rPr>
                <w:rFonts w:hint="eastAsia" w:ascii="宋体" w:hAnsi="宋体"/>
                <w:sz w:val="24"/>
              </w:rPr>
              <w:t>4（每季度第一个月）</w:t>
            </w:r>
          </w:p>
        </w:tc>
      </w:tr>
      <w:tr w14:paraId="0D3A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145650DB">
            <w:pPr>
              <w:spacing w:line="300" w:lineRule="auto"/>
              <w:jc w:val="center"/>
              <w:rPr>
                <w:rFonts w:ascii="宋体" w:hAnsi="宋体"/>
                <w:sz w:val="24"/>
              </w:rPr>
            </w:pPr>
            <w:r>
              <w:rPr>
                <w:rFonts w:hint="eastAsia" w:ascii="宋体" w:hAnsi="宋体"/>
                <w:sz w:val="24"/>
              </w:rPr>
              <w:t>5</w:t>
            </w:r>
          </w:p>
        </w:tc>
        <w:tc>
          <w:tcPr>
            <w:tcW w:w="1746" w:type="dxa"/>
            <w:vAlign w:val="center"/>
          </w:tcPr>
          <w:p w14:paraId="33B5D3C0">
            <w:pPr>
              <w:spacing w:line="300" w:lineRule="auto"/>
              <w:jc w:val="center"/>
              <w:rPr>
                <w:rFonts w:ascii="宋体" w:hAnsi="宋体"/>
                <w:sz w:val="24"/>
              </w:rPr>
            </w:pPr>
            <w:r>
              <w:rPr>
                <w:rFonts w:hint="eastAsia" w:ascii="宋体" w:hAnsi="宋体"/>
                <w:sz w:val="24"/>
              </w:rPr>
              <w:t>软水系统监测</w:t>
            </w:r>
          </w:p>
        </w:tc>
        <w:tc>
          <w:tcPr>
            <w:tcW w:w="5199" w:type="dxa"/>
            <w:tcBorders>
              <w:right w:val="single" w:color="000000" w:sz="4" w:space="0"/>
            </w:tcBorders>
            <w:vAlign w:val="center"/>
          </w:tcPr>
          <w:p w14:paraId="2E766893">
            <w:pPr>
              <w:spacing w:line="300" w:lineRule="auto"/>
              <w:jc w:val="left"/>
              <w:rPr>
                <w:rFonts w:ascii="宋体" w:hAnsi="宋体"/>
                <w:sz w:val="24"/>
              </w:rPr>
            </w:pPr>
            <w:r>
              <w:rPr>
                <w:rFonts w:hint="eastAsia" w:ascii="宋体" w:hAnsi="宋体"/>
                <w:sz w:val="24"/>
              </w:rPr>
              <w:t>定期配合进行软水处理系统性能检测，水质化验复核，查找运行隐患；</w:t>
            </w:r>
          </w:p>
        </w:tc>
        <w:tc>
          <w:tcPr>
            <w:tcW w:w="2597" w:type="dxa"/>
            <w:tcBorders>
              <w:left w:val="single" w:color="000000" w:sz="4" w:space="0"/>
            </w:tcBorders>
            <w:vAlign w:val="center"/>
          </w:tcPr>
          <w:p w14:paraId="70A26A7B">
            <w:pPr>
              <w:spacing w:line="300" w:lineRule="auto"/>
              <w:jc w:val="center"/>
              <w:rPr>
                <w:rFonts w:ascii="宋体" w:hAnsi="宋体"/>
                <w:sz w:val="24"/>
              </w:rPr>
            </w:pPr>
            <w:r>
              <w:rPr>
                <w:rFonts w:hint="eastAsia" w:ascii="宋体" w:hAnsi="宋体"/>
                <w:sz w:val="24"/>
              </w:rPr>
              <w:t>4（每季度第一个月）</w:t>
            </w:r>
          </w:p>
        </w:tc>
      </w:tr>
      <w:tr w14:paraId="7D1F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1D227AC9">
            <w:pPr>
              <w:spacing w:line="300" w:lineRule="auto"/>
              <w:jc w:val="center"/>
              <w:rPr>
                <w:rFonts w:ascii="宋体" w:hAnsi="宋体"/>
                <w:sz w:val="24"/>
              </w:rPr>
            </w:pPr>
            <w:r>
              <w:rPr>
                <w:rFonts w:hint="eastAsia" w:ascii="宋体" w:hAnsi="宋体"/>
                <w:sz w:val="24"/>
              </w:rPr>
              <w:t>6</w:t>
            </w:r>
          </w:p>
        </w:tc>
        <w:tc>
          <w:tcPr>
            <w:tcW w:w="1746" w:type="dxa"/>
            <w:vAlign w:val="center"/>
          </w:tcPr>
          <w:p w14:paraId="65A94C2E">
            <w:pPr>
              <w:spacing w:line="300" w:lineRule="auto"/>
              <w:jc w:val="center"/>
              <w:rPr>
                <w:rFonts w:ascii="宋体" w:hAnsi="宋体"/>
                <w:sz w:val="24"/>
              </w:rPr>
            </w:pPr>
            <w:r>
              <w:rPr>
                <w:rFonts w:hint="eastAsia" w:ascii="宋体" w:hAnsi="宋体"/>
                <w:sz w:val="24"/>
              </w:rPr>
              <w:t>燃烧器保养</w:t>
            </w:r>
          </w:p>
        </w:tc>
        <w:tc>
          <w:tcPr>
            <w:tcW w:w="5199" w:type="dxa"/>
            <w:tcBorders>
              <w:right w:val="single" w:color="000000" w:sz="4" w:space="0"/>
            </w:tcBorders>
            <w:vAlign w:val="center"/>
          </w:tcPr>
          <w:p w14:paraId="212C4E77">
            <w:pPr>
              <w:spacing w:line="300" w:lineRule="auto"/>
              <w:jc w:val="left"/>
              <w:rPr>
                <w:rFonts w:ascii="宋体" w:hAnsi="宋体"/>
                <w:sz w:val="24"/>
              </w:rPr>
            </w:pPr>
            <w:r>
              <w:rPr>
                <w:rFonts w:hint="eastAsia" w:ascii="宋体" w:hAnsi="宋体"/>
                <w:sz w:val="24"/>
              </w:rPr>
              <w:t>定期对燃烧器器运行部件进行保养、检查、调试等，确保燃烧器的安全、正常、经济运行（</w:t>
            </w:r>
            <w:r>
              <w:rPr>
                <w:rFonts w:hint="eastAsia" w:ascii="宋体" w:hAnsi="宋体"/>
                <w:color w:val="FF0000"/>
                <w:sz w:val="24"/>
              </w:rPr>
              <w:t>不含整机全面拆除清洗保养）；</w:t>
            </w:r>
          </w:p>
        </w:tc>
        <w:tc>
          <w:tcPr>
            <w:tcW w:w="2597" w:type="dxa"/>
            <w:tcBorders>
              <w:left w:val="single" w:color="000000" w:sz="4" w:space="0"/>
            </w:tcBorders>
            <w:vAlign w:val="center"/>
          </w:tcPr>
          <w:p w14:paraId="24485337">
            <w:pPr>
              <w:spacing w:line="300" w:lineRule="auto"/>
              <w:jc w:val="center"/>
              <w:rPr>
                <w:rFonts w:ascii="宋体" w:hAnsi="宋体"/>
                <w:sz w:val="24"/>
              </w:rPr>
            </w:pPr>
            <w:r>
              <w:rPr>
                <w:rFonts w:hint="eastAsia" w:ascii="宋体" w:hAnsi="宋体"/>
                <w:sz w:val="24"/>
              </w:rPr>
              <w:t>4（每季度第一个月）</w:t>
            </w:r>
          </w:p>
        </w:tc>
      </w:tr>
      <w:tr w14:paraId="553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76" w:type="dxa"/>
            <w:vAlign w:val="center"/>
          </w:tcPr>
          <w:p w14:paraId="5E1C5BDF">
            <w:pPr>
              <w:spacing w:line="300" w:lineRule="auto"/>
              <w:jc w:val="center"/>
              <w:rPr>
                <w:rFonts w:ascii="宋体" w:hAnsi="宋体"/>
                <w:sz w:val="24"/>
              </w:rPr>
            </w:pPr>
            <w:r>
              <w:rPr>
                <w:rFonts w:hint="eastAsia" w:ascii="宋体" w:hAnsi="宋体"/>
                <w:sz w:val="24"/>
              </w:rPr>
              <w:t>7</w:t>
            </w:r>
          </w:p>
        </w:tc>
        <w:tc>
          <w:tcPr>
            <w:tcW w:w="1746" w:type="dxa"/>
            <w:vAlign w:val="center"/>
          </w:tcPr>
          <w:p w14:paraId="4825FB91">
            <w:pPr>
              <w:spacing w:line="300" w:lineRule="auto"/>
              <w:jc w:val="center"/>
              <w:rPr>
                <w:rFonts w:ascii="宋体" w:hAnsi="宋体"/>
                <w:sz w:val="24"/>
              </w:rPr>
            </w:pPr>
            <w:r>
              <w:rPr>
                <w:rFonts w:hint="eastAsia" w:ascii="宋体" w:hAnsi="宋体"/>
                <w:sz w:val="24"/>
              </w:rPr>
              <w:t>管路系统检查</w:t>
            </w:r>
          </w:p>
        </w:tc>
        <w:tc>
          <w:tcPr>
            <w:tcW w:w="5199" w:type="dxa"/>
            <w:tcBorders>
              <w:right w:val="single" w:color="000000" w:sz="4" w:space="0"/>
            </w:tcBorders>
            <w:vAlign w:val="center"/>
          </w:tcPr>
          <w:p w14:paraId="1E9C665C">
            <w:pPr>
              <w:spacing w:line="300" w:lineRule="auto"/>
              <w:jc w:val="left"/>
              <w:rPr>
                <w:rFonts w:ascii="宋体" w:hAnsi="宋体"/>
                <w:sz w:val="24"/>
              </w:rPr>
            </w:pPr>
            <w:r>
              <w:rPr>
                <w:rFonts w:hint="eastAsia" w:ascii="宋体" w:hAnsi="宋体"/>
                <w:sz w:val="24"/>
              </w:rPr>
              <w:t>对锅炉房内循环水系统的管网及外保温进行检查，并配合甲方解决流道堵塞隐患；</w:t>
            </w:r>
          </w:p>
        </w:tc>
        <w:tc>
          <w:tcPr>
            <w:tcW w:w="2597" w:type="dxa"/>
            <w:tcBorders>
              <w:left w:val="single" w:color="000000" w:sz="4" w:space="0"/>
            </w:tcBorders>
            <w:vAlign w:val="center"/>
          </w:tcPr>
          <w:p w14:paraId="0BCC0F40">
            <w:pPr>
              <w:spacing w:line="300" w:lineRule="auto"/>
              <w:jc w:val="center"/>
              <w:rPr>
                <w:rFonts w:ascii="宋体" w:hAnsi="宋体"/>
                <w:sz w:val="24"/>
              </w:rPr>
            </w:pPr>
            <w:r>
              <w:rPr>
                <w:rFonts w:hint="eastAsia" w:ascii="宋体" w:hAnsi="宋体"/>
                <w:sz w:val="24"/>
              </w:rPr>
              <w:t>2（每半年第一个月）</w:t>
            </w:r>
          </w:p>
        </w:tc>
      </w:tr>
      <w:tr w14:paraId="696C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5F487715">
            <w:pPr>
              <w:spacing w:line="300" w:lineRule="auto"/>
              <w:jc w:val="center"/>
              <w:rPr>
                <w:rFonts w:ascii="宋体" w:hAnsi="宋体"/>
                <w:sz w:val="24"/>
              </w:rPr>
            </w:pPr>
            <w:r>
              <w:rPr>
                <w:rFonts w:hint="eastAsia" w:ascii="宋体" w:hAnsi="宋体"/>
                <w:sz w:val="24"/>
              </w:rPr>
              <w:t>8</w:t>
            </w:r>
          </w:p>
        </w:tc>
        <w:tc>
          <w:tcPr>
            <w:tcW w:w="1746" w:type="dxa"/>
            <w:vAlign w:val="center"/>
          </w:tcPr>
          <w:p w14:paraId="5A73E8DB">
            <w:pPr>
              <w:spacing w:line="300" w:lineRule="auto"/>
              <w:jc w:val="center"/>
              <w:rPr>
                <w:rFonts w:ascii="宋体" w:hAnsi="宋体"/>
                <w:sz w:val="24"/>
              </w:rPr>
            </w:pPr>
            <w:r>
              <w:rPr>
                <w:rFonts w:hint="eastAsia" w:ascii="宋体" w:hAnsi="宋体"/>
                <w:sz w:val="24"/>
              </w:rPr>
              <w:t>起炉保养</w:t>
            </w:r>
          </w:p>
        </w:tc>
        <w:tc>
          <w:tcPr>
            <w:tcW w:w="5199" w:type="dxa"/>
            <w:tcBorders>
              <w:right w:val="single" w:color="000000" w:sz="4" w:space="0"/>
            </w:tcBorders>
            <w:vAlign w:val="center"/>
          </w:tcPr>
          <w:p w14:paraId="3433C7EB">
            <w:pPr>
              <w:spacing w:line="300" w:lineRule="auto"/>
              <w:jc w:val="left"/>
              <w:rPr>
                <w:rFonts w:ascii="宋体" w:hAnsi="宋体"/>
                <w:sz w:val="24"/>
              </w:rPr>
            </w:pPr>
            <w:r>
              <w:rPr>
                <w:rFonts w:hint="eastAsia" w:ascii="宋体" w:hAnsi="宋体"/>
                <w:sz w:val="24"/>
              </w:rPr>
              <w:t>长期停用的锅炉启炉前，对锅炉进行一次全面检查、安全性能测试及试运行；</w:t>
            </w:r>
          </w:p>
        </w:tc>
        <w:tc>
          <w:tcPr>
            <w:tcW w:w="2597" w:type="dxa"/>
            <w:tcBorders>
              <w:left w:val="single" w:color="000000" w:sz="4" w:space="0"/>
            </w:tcBorders>
            <w:vAlign w:val="center"/>
          </w:tcPr>
          <w:p w14:paraId="5898B7F8">
            <w:pPr>
              <w:spacing w:line="300" w:lineRule="auto"/>
              <w:jc w:val="center"/>
              <w:rPr>
                <w:rFonts w:ascii="宋体" w:hAnsi="宋体"/>
                <w:sz w:val="24"/>
              </w:rPr>
            </w:pPr>
            <w:r>
              <w:rPr>
                <w:rFonts w:hint="eastAsia" w:ascii="宋体" w:hAnsi="宋体"/>
                <w:sz w:val="24"/>
              </w:rPr>
              <w:t>1</w:t>
            </w:r>
          </w:p>
        </w:tc>
      </w:tr>
      <w:tr w14:paraId="55A5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47D6AF3B">
            <w:pPr>
              <w:spacing w:line="300" w:lineRule="auto"/>
              <w:jc w:val="center"/>
              <w:rPr>
                <w:rFonts w:ascii="宋体" w:hAnsi="宋体"/>
                <w:sz w:val="24"/>
              </w:rPr>
            </w:pPr>
            <w:r>
              <w:rPr>
                <w:rFonts w:hint="eastAsia" w:ascii="宋体" w:hAnsi="宋体"/>
                <w:sz w:val="24"/>
              </w:rPr>
              <w:t>9</w:t>
            </w:r>
          </w:p>
        </w:tc>
        <w:tc>
          <w:tcPr>
            <w:tcW w:w="1746" w:type="dxa"/>
            <w:vAlign w:val="center"/>
          </w:tcPr>
          <w:p w14:paraId="14F065AD">
            <w:pPr>
              <w:spacing w:line="300" w:lineRule="auto"/>
              <w:jc w:val="center"/>
              <w:rPr>
                <w:rFonts w:ascii="宋体" w:hAnsi="宋体"/>
                <w:sz w:val="24"/>
              </w:rPr>
            </w:pPr>
            <w:r>
              <w:rPr>
                <w:rFonts w:hint="eastAsia" w:ascii="宋体" w:hAnsi="宋体"/>
                <w:sz w:val="24"/>
              </w:rPr>
              <w:t>停炉保养</w:t>
            </w:r>
          </w:p>
        </w:tc>
        <w:tc>
          <w:tcPr>
            <w:tcW w:w="5199" w:type="dxa"/>
            <w:tcBorders>
              <w:right w:val="single" w:color="000000" w:sz="4" w:space="0"/>
            </w:tcBorders>
            <w:vAlign w:val="center"/>
          </w:tcPr>
          <w:p w14:paraId="2BA2E563">
            <w:pPr>
              <w:spacing w:line="300" w:lineRule="auto"/>
              <w:jc w:val="left"/>
              <w:rPr>
                <w:rFonts w:ascii="宋体" w:hAnsi="宋体"/>
                <w:sz w:val="24"/>
              </w:rPr>
            </w:pPr>
            <w:r>
              <w:rPr>
                <w:rFonts w:hint="eastAsia" w:ascii="宋体" w:hAnsi="宋体"/>
                <w:sz w:val="24"/>
              </w:rPr>
              <w:t>对即将长期停用的锅炉进行燃烧器保护及炉内防腐保养，以减小停炉期间锅炉的性能损耗；</w:t>
            </w:r>
          </w:p>
        </w:tc>
        <w:tc>
          <w:tcPr>
            <w:tcW w:w="2597" w:type="dxa"/>
            <w:tcBorders>
              <w:left w:val="single" w:color="000000" w:sz="4" w:space="0"/>
            </w:tcBorders>
            <w:vAlign w:val="center"/>
          </w:tcPr>
          <w:p w14:paraId="094DBB51">
            <w:pPr>
              <w:spacing w:line="300" w:lineRule="auto"/>
              <w:jc w:val="center"/>
              <w:rPr>
                <w:rFonts w:ascii="宋体" w:hAnsi="宋体"/>
                <w:sz w:val="24"/>
              </w:rPr>
            </w:pPr>
            <w:r>
              <w:rPr>
                <w:rFonts w:hint="eastAsia" w:ascii="宋体" w:hAnsi="宋体"/>
                <w:sz w:val="24"/>
              </w:rPr>
              <w:t>1</w:t>
            </w:r>
          </w:p>
        </w:tc>
      </w:tr>
      <w:tr w14:paraId="4DE2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2CD095EA">
            <w:pPr>
              <w:spacing w:line="300" w:lineRule="auto"/>
              <w:jc w:val="center"/>
              <w:rPr>
                <w:rFonts w:ascii="宋体" w:hAnsi="宋体"/>
                <w:sz w:val="24"/>
              </w:rPr>
            </w:pPr>
            <w:r>
              <w:rPr>
                <w:rFonts w:hint="eastAsia" w:ascii="宋体" w:hAnsi="宋体"/>
                <w:sz w:val="24"/>
              </w:rPr>
              <w:t>10</w:t>
            </w:r>
          </w:p>
        </w:tc>
        <w:tc>
          <w:tcPr>
            <w:tcW w:w="1746" w:type="dxa"/>
            <w:vAlign w:val="center"/>
          </w:tcPr>
          <w:p w14:paraId="41F8D367">
            <w:pPr>
              <w:spacing w:line="300" w:lineRule="auto"/>
              <w:jc w:val="center"/>
              <w:rPr>
                <w:rFonts w:ascii="宋体" w:hAnsi="宋体"/>
                <w:sz w:val="24"/>
              </w:rPr>
            </w:pPr>
            <w:r>
              <w:rPr>
                <w:rFonts w:hint="eastAsia" w:ascii="宋体" w:hAnsi="宋体"/>
                <w:sz w:val="24"/>
              </w:rPr>
              <w:t>系统知识培训</w:t>
            </w:r>
          </w:p>
        </w:tc>
        <w:tc>
          <w:tcPr>
            <w:tcW w:w="5199" w:type="dxa"/>
            <w:tcBorders>
              <w:right w:val="single" w:color="000000" w:sz="4" w:space="0"/>
            </w:tcBorders>
            <w:vAlign w:val="center"/>
          </w:tcPr>
          <w:p w14:paraId="3EBDDE3A">
            <w:pPr>
              <w:spacing w:line="300" w:lineRule="auto"/>
              <w:jc w:val="left"/>
              <w:rPr>
                <w:rFonts w:ascii="宋体" w:hAnsi="宋体"/>
                <w:sz w:val="24"/>
              </w:rPr>
            </w:pPr>
            <w:r>
              <w:rPr>
                <w:rFonts w:hint="eastAsia" w:ascii="宋体" w:hAnsi="宋体"/>
                <w:sz w:val="24"/>
              </w:rPr>
              <w:t>提供锅炉系统知识培训（包括运行、安全、节能及锅炉房相关知识）；</w:t>
            </w:r>
          </w:p>
        </w:tc>
        <w:tc>
          <w:tcPr>
            <w:tcW w:w="2597" w:type="dxa"/>
            <w:tcBorders>
              <w:left w:val="single" w:color="000000" w:sz="4" w:space="0"/>
            </w:tcBorders>
            <w:vAlign w:val="center"/>
          </w:tcPr>
          <w:p w14:paraId="222721DF">
            <w:pPr>
              <w:spacing w:line="300" w:lineRule="auto"/>
              <w:jc w:val="center"/>
              <w:rPr>
                <w:rFonts w:ascii="宋体" w:hAnsi="宋体"/>
                <w:sz w:val="24"/>
              </w:rPr>
            </w:pPr>
            <w:r>
              <w:rPr>
                <w:rFonts w:hint="eastAsia" w:ascii="宋体" w:hAnsi="宋体"/>
                <w:sz w:val="24"/>
              </w:rPr>
              <w:t>1</w:t>
            </w:r>
          </w:p>
        </w:tc>
      </w:tr>
      <w:tr w14:paraId="4268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65AFA2D6">
            <w:pPr>
              <w:spacing w:line="300" w:lineRule="auto"/>
              <w:jc w:val="center"/>
              <w:rPr>
                <w:rFonts w:ascii="宋体" w:hAnsi="宋体"/>
                <w:sz w:val="24"/>
              </w:rPr>
            </w:pPr>
            <w:r>
              <w:rPr>
                <w:rFonts w:hint="eastAsia" w:ascii="宋体" w:hAnsi="宋体"/>
                <w:sz w:val="24"/>
              </w:rPr>
              <w:t>11</w:t>
            </w:r>
          </w:p>
        </w:tc>
        <w:tc>
          <w:tcPr>
            <w:tcW w:w="1746" w:type="dxa"/>
            <w:vAlign w:val="center"/>
          </w:tcPr>
          <w:p w14:paraId="1707654D">
            <w:pPr>
              <w:spacing w:line="300" w:lineRule="auto"/>
              <w:jc w:val="center"/>
              <w:rPr>
                <w:rFonts w:ascii="宋体" w:hAnsi="宋体"/>
                <w:sz w:val="24"/>
              </w:rPr>
            </w:pPr>
            <w:r>
              <w:rPr>
                <w:rFonts w:hint="eastAsia" w:ascii="宋体" w:hAnsi="宋体"/>
                <w:sz w:val="24"/>
              </w:rPr>
              <w:t>客户回访</w:t>
            </w:r>
          </w:p>
        </w:tc>
        <w:tc>
          <w:tcPr>
            <w:tcW w:w="5199" w:type="dxa"/>
            <w:tcBorders>
              <w:right w:val="single" w:color="000000" w:sz="4" w:space="0"/>
            </w:tcBorders>
            <w:vAlign w:val="center"/>
          </w:tcPr>
          <w:p w14:paraId="58444188">
            <w:pPr>
              <w:spacing w:line="300" w:lineRule="auto"/>
              <w:jc w:val="left"/>
              <w:rPr>
                <w:rFonts w:ascii="宋体" w:hAnsi="宋体"/>
                <w:sz w:val="24"/>
              </w:rPr>
            </w:pPr>
            <w:r>
              <w:rPr>
                <w:rFonts w:hint="eastAsia" w:ascii="宋体" w:hAnsi="宋体"/>
                <w:sz w:val="24"/>
              </w:rPr>
              <w:t>按计划对客户进行上门回访或电话回访，听取客户意见、建议，有效改进服务质量、服务方法；</w:t>
            </w:r>
          </w:p>
        </w:tc>
        <w:tc>
          <w:tcPr>
            <w:tcW w:w="2597" w:type="dxa"/>
            <w:tcBorders>
              <w:left w:val="single" w:color="000000" w:sz="4" w:space="0"/>
            </w:tcBorders>
            <w:vAlign w:val="center"/>
          </w:tcPr>
          <w:p w14:paraId="5FC72338">
            <w:pPr>
              <w:spacing w:line="300" w:lineRule="auto"/>
              <w:jc w:val="center"/>
              <w:rPr>
                <w:rFonts w:ascii="宋体" w:hAnsi="宋体"/>
                <w:sz w:val="24"/>
              </w:rPr>
            </w:pPr>
            <w:r>
              <w:rPr>
                <w:rFonts w:hint="eastAsia" w:ascii="宋体" w:hAnsi="宋体"/>
                <w:sz w:val="24"/>
              </w:rPr>
              <w:t>4（每季度第一个月）</w:t>
            </w:r>
          </w:p>
        </w:tc>
      </w:tr>
      <w:tr w14:paraId="3978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6" w:type="dxa"/>
            <w:vAlign w:val="center"/>
          </w:tcPr>
          <w:p w14:paraId="073E6F50">
            <w:pPr>
              <w:spacing w:line="300" w:lineRule="auto"/>
              <w:jc w:val="center"/>
              <w:rPr>
                <w:rFonts w:ascii="宋体" w:hAnsi="宋体"/>
                <w:sz w:val="24"/>
              </w:rPr>
            </w:pPr>
            <w:r>
              <w:rPr>
                <w:rFonts w:hint="eastAsia" w:ascii="宋体" w:hAnsi="宋体"/>
                <w:sz w:val="24"/>
              </w:rPr>
              <w:t>12</w:t>
            </w:r>
          </w:p>
        </w:tc>
        <w:tc>
          <w:tcPr>
            <w:tcW w:w="1746" w:type="dxa"/>
            <w:vAlign w:val="center"/>
          </w:tcPr>
          <w:p w14:paraId="1936D4C7">
            <w:pPr>
              <w:spacing w:line="300" w:lineRule="auto"/>
              <w:jc w:val="center"/>
              <w:rPr>
                <w:rFonts w:ascii="宋体" w:hAnsi="宋体"/>
                <w:sz w:val="24"/>
              </w:rPr>
            </w:pPr>
            <w:r>
              <w:rPr>
                <w:rFonts w:hint="eastAsia" w:ascii="宋体" w:hAnsi="宋体"/>
                <w:sz w:val="24"/>
              </w:rPr>
              <w:t>技术咨询</w:t>
            </w:r>
          </w:p>
        </w:tc>
        <w:tc>
          <w:tcPr>
            <w:tcW w:w="5199" w:type="dxa"/>
            <w:tcBorders>
              <w:right w:val="single" w:color="000000" w:sz="4" w:space="0"/>
            </w:tcBorders>
            <w:vAlign w:val="center"/>
          </w:tcPr>
          <w:p w14:paraId="537AF63C">
            <w:pPr>
              <w:spacing w:line="300" w:lineRule="auto"/>
              <w:jc w:val="left"/>
              <w:rPr>
                <w:rFonts w:ascii="宋体" w:hAnsi="宋体"/>
                <w:sz w:val="24"/>
              </w:rPr>
            </w:pPr>
            <w:r>
              <w:rPr>
                <w:rFonts w:hint="eastAsia" w:ascii="宋体" w:hAnsi="宋体"/>
                <w:sz w:val="24"/>
              </w:rPr>
              <w:t>根据客户需求24小时提供专家技术咨询，包括锅炉本体、热水系统、蒸汽管道、燃烧系统、电控系统、安全连锁保护系统、水处理系统、烟气系统锅炉配套锅炉本体及保温、水箱等；</w:t>
            </w:r>
          </w:p>
        </w:tc>
        <w:tc>
          <w:tcPr>
            <w:tcW w:w="2597" w:type="dxa"/>
            <w:tcBorders>
              <w:left w:val="single" w:color="000000" w:sz="4" w:space="0"/>
            </w:tcBorders>
            <w:vAlign w:val="center"/>
          </w:tcPr>
          <w:p w14:paraId="1FD316F9">
            <w:pPr>
              <w:spacing w:line="300" w:lineRule="auto"/>
              <w:jc w:val="center"/>
              <w:rPr>
                <w:rFonts w:ascii="宋体" w:hAnsi="宋体"/>
                <w:sz w:val="24"/>
              </w:rPr>
            </w:pPr>
            <w:r>
              <w:rPr>
                <w:rFonts w:hint="eastAsia" w:ascii="宋体" w:hAnsi="宋体"/>
                <w:sz w:val="24"/>
              </w:rPr>
              <w:t>不限</w:t>
            </w:r>
          </w:p>
        </w:tc>
      </w:tr>
      <w:tr w14:paraId="2513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 w:type="dxa"/>
            <w:vAlign w:val="center"/>
          </w:tcPr>
          <w:p w14:paraId="32ED8502">
            <w:pPr>
              <w:spacing w:line="300" w:lineRule="auto"/>
              <w:jc w:val="center"/>
              <w:rPr>
                <w:rFonts w:ascii="宋体" w:hAnsi="宋体"/>
                <w:sz w:val="24"/>
              </w:rPr>
            </w:pPr>
            <w:r>
              <w:rPr>
                <w:rFonts w:hint="eastAsia" w:ascii="宋体" w:hAnsi="宋体"/>
                <w:sz w:val="24"/>
              </w:rPr>
              <w:t>13</w:t>
            </w:r>
          </w:p>
        </w:tc>
        <w:tc>
          <w:tcPr>
            <w:tcW w:w="1746" w:type="dxa"/>
            <w:vAlign w:val="center"/>
          </w:tcPr>
          <w:p w14:paraId="1DEDD135">
            <w:pPr>
              <w:spacing w:line="300" w:lineRule="auto"/>
              <w:jc w:val="center"/>
              <w:rPr>
                <w:rFonts w:ascii="宋体" w:hAnsi="宋体"/>
                <w:sz w:val="24"/>
              </w:rPr>
            </w:pPr>
            <w:r>
              <w:rPr>
                <w:rFonts w:hint="eastAsia" w:ascii="宋体" w:hAnsi="宋体"/>
                <w:sz w:val="24"/>
              </w:rPr>
              <w:t>故障维修</w:t>
            </w:r>
          </w:p>
        </w:tc>
        <w:tc>
          <w:tcPr>
            <w:tcW w:w="5199" w:type="dxa"/>
            <w:tcBorders>
              <w:right w:val="single" w:color="000000" w:sz="4" w:space="0"/>
            </w:tcBorders>
            <w:vAlign w:val="center"/>
          </w:tcPr>
          <w:p w14:paraId="0119ADBC">
            <w:pPr>
              <w:spacing w:line="300" w:lineRule="auto"/>
              <w:jc w:val="left"/>
              <w:rPr>
                <w:rFonts w:ascii="宋体" w:hAnsi="宋体"/>
                <w:sz w:val="24"/>
              </w:rPr>
            </w:pPr>
            <w:r>
              <w:rPr>
                <w:rFonts w:hint="eastAsia" w:ascii="宋体" w:hAnsi="宋体"/>
                <w:sz w:val="24"/>
              </w:rPr>
              <w:t>根据客户报修信息，提供上门维修服务，及时排查故障，保证客户锅炉安全、稳定运行。</w:t>
            </w:r>
          </w:p>
        </w:tc>
        <w:tc>
          <w:tcPr>
            <w:tcW w:w="2597" w:type="dxa"/>
            <w:tcBorders>
              <w:left w:val="single" w:color="000000" w:sz="4" w:space="0"/>
            </w:tcBorders>
            <w:vAlign w:val="center"/>
          </w:tcPr>
          <w:p w14:paraId="0847D24B">
            <w:pPr>
              <w:spacing w:line="300" w:lineRule="auto"/>
              <w:jc w:val="center"/>
              <w:rPr>
                <w:rFonts w:ascii="宋体" w:hAnsi="宋体"/>
                <w:sz w:val="24"/>
              </w:rPr>
            </w:pPr>
            <w:r>
              <w:rPr>
                <w:rFonts w:hint="eastAsia" w:ascii="宋体" w:hAnsi="宋体"/>
                <w:sz w:val="24"/>
              </w:rPr>
              <w:t>不限</w:t>
            </w:r>
          </w:p>
        </w:tc>
      </w:tr>
    </w:tbl>
    <w:p w14:paraId="2D9802F8"/>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5FE9">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56BEE3E">
                <w:pPr>
                  <w:pStyle w:val="3"/>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mNjBhMzI2NmI3ODU3NzExOWQ4OWI5NTIyYzBlOTQifQ=="/>
  </w:docVars>
  <w:rsids>
    <w:rsidRoot w:val="00303653"/>
    <w:rsid w:val="000222A6"/>
    <w:rsid w:val="00056440"/>
    <w:rsid w:val="00061C7E"/>
    <w:rsid w:val="00090030"/>
    <w:rsid w:val="000A0EFC"/>
    <w:rsid w:val="000A5204"/>
    <w:rsid w:val="000B1DF9"/>
    <w:rsid w:val="000B5222"/>
    <w:rsid w:val="000D6409"/>
    <w:rsid w:val="000E0FCF"/>
    <w:rsid w:val="001057E8"/>
    <w:rsid w:val="00147DEA"/>
    <w:rsid w:val="001672AF"/>
    <w:rsid w:val="001709AE"/>
    <w:rsid w:val="00193E31"/>
    <w:rsid w:val="001A5289"/>
    <w:rsid w:val="001C08FC"/>
    <w:rsid w:val="001C5ED9"/>
    <w:rsid w:val="001D1284"/>
    <w:rsid w:val="001D1585"/>
    <w:rsid w:val="001E4E16"/>
    <w:rsid w:val="001E6DEE"/>
    <w:rsid w:val="00202298"/>
    <w:rsid w:val="00222756"/>
    <w:rsid w:val="002262AD"/>
    <w:rsid w:val="00234F38"/>
    <w:rsid w:val="00247EC4"/>
    <w:rsid w:val="002512B9"/>
    <w:rsid w:val="002528A5"/>
    <w:rsid w:val="00255E06"/>
    <w:rsid w:val="00264A63"/>
    <w:rsid w:val="00286E4D"/>
    <w:rsid w:val="002A2388"/>
    <w:rsid w:val="002B0444"/>
    <w:rsid w:val="002D1B28"/>
    <w:rsid w:val="002E190E"/>
    <w:rsid w:val="0030317C"/>
    <w:rsid w:val="00303653"/>
    <w:rsid w:val="00305C47"/>
    <w:rsid w:val="00306EF9"/>
    <w:rsid w:val="00311987"/>
    <w:rsid w:val="00311FA7"/>
    <w:rsid w:val="00312A25"/>
    <w:rsid w:val="00341F2E"/>
    <w:rsid w:val="003436B4"/>
    <w:rsid w:val="00343D09"/>
    <w:rsid w:val="0035299F"/>
    <w:rsid w:val="00381135"/>
    <w:rsid w:val="00393C70"/>
    <w:rsid w:val="003967A5"/>
    <w:rsid w:val="0039778D"/>
    <w:rsid w:val="003C0309"/>
    <w:rsid w:val="003D27AF"/>
    <w:rsid w:val="003E3E29"/>
    <w:rsid w:val="003F4201"/>
    <w:rsid w:val="003F4F8B"/>
    <w:rsid w:val="00400530"/>
    <w:rsid w:val="004517A8"/>
    <w:rsid w:val="00466BCF"/>
    <w:rsid w:val="0047294E"/>
    <w:rsid w:val="00476725"/>
    <w:rsid w:val="004B6457"/>
    <w:rsid w:val="00516966"/>
    <w:rsid w:val="005659BB"/>
    <w:rsid w:val="0058617B"/>
    <w:rsid w:val="005A0709"/>
    <w:rsid w:val="005A6967"/>
    <w:rsid w:val="005D1327"/>
    <w:rsid w:val="005E1147"/>
    <w:rsid w:val="00623DCC"/>
    <w:rsid w:val="006357D2"/>
    <w:rsid w:val="00697BB3"/>
    <w:rsid w:val="006A489F"/>
    <w:rsid w:val="007175F9"/>
    <w:rsid w:val="00732478"/>
    <w:rsid w:val="00752552"/>
    <w:rsid w:val="007648CC"/>
    <w:rsid w:val="00774946"/>
    <w:rsid w:val="0078705C"/>
    <w:rsid w:val="00797DA8"/>
    <w:rsid w:val="007B065E"/>
    <w:rsid w:val="007E52B7"/>
    <w:rsid w:val="007E6700"/>
    <w:rsid w:val="007E79BF"/>
    <w:rsid w:val="007F44B6"/>
    <w:rsid w:val="00825717"/>
    <w:rsid w:val="00851AEB"/>
    <w:rsid w:val="0085572E"/>
    <w:rsid w:val="008640BE"/>
    <w:rsid w:val="008719F8"/>
    <w:rsid w:val="008A5316"/>
    <w:rsid w:val="008B1FB8"/>
    <w:rsid w:val="008B341A"/>
    <w:rsid w:val="008B51FB"/>
    <w:rsid w:val="008C2781"/>
    <w:rsid w:val="008C3B21"/>
    <w:rsid w:val="008D56E9"/>
    <w:rsid w:val="008E0289"/>
    <w:rsid w:val="008E4803"/>
    <w:rsid w:val="008F2220"/>
    <w:rsid w:val="008F7CA8"/>
    <w:rsid w:val="009075F6"/>
    <w:rsid w:val="009138F4"/>
    <w:rsid w:val="00914724"/>
    <w:rsid w:val="00916034"/>
    <w:rsid w:val="00941AE0"/>
    <w:rsid w:val="009425D6"/>
    <w:rsid w:val="009670F8"/>
    <w:rsid w:val="00987C43"/>
    <w:rsid w:val="009B0963"/>
    <w:rsid w:val="009B58DB"/>
    <w:rsid w:val="009B72FC"/>
    <w:rsid w:val="009C7959"/>
    <w:rsid w:val="009D4ECC"/>
    <w:rsid w:val="009E6C47"/>
    <w:rsid w:val="00A151A5"/>
    <w:rsid w:val="00A3451B"/>
    <w:rsid w:val="00A5255D"/>
    <w:rsid w:val="00A53F6E"/>
    <w:rsid w:val="00A604DD"/>
    <w:rsid w:val="00A736F0"/>
    <w:rsid w:val="00AA35E7"/>
    <w:rsid w:val="00AE3204"/>
    <w:rsid w:val="00B10AC4"/>
    <w:rsid w:val="00B12566"/>
    <w:rsid w:val="00B15243"/>
    <w:rsid w:val="00B22824"/>
    <w:rsid w:val="00B232DE"/>
    <w:rsid w:val="00B35F1B"/>
    <w:rsid w:val="00B549C6"/>
    <w:rsid w:val="00B67DB0"/>
    <w:rsid w:val="00B84607"/>
    <w:rsid w:val="00B9197F"/>
    <w:rsid w:val="00BB34FB"/>
    <w:rsid w:val="00BC04CE"/>
    <w:rsid w:val="00BC1B89"/>
    <w:rsid w:val="00BC78AE"/>
    <w:rsid w:val="00C31AA0"/>
    <w:rsid w:val="00C348B8"/>
    <w:rsid w:val="00C63FED"/>
    <w:rsid w:val="00C66AE5"/>
    <w:rsid w:val="00C85385"/>
    <w:rsid w:val="00CB7233"/>
    <w:rsid w:val="00CF1E9C"/>
    <w:rsid w:val="00D11A6F"/>
    <w:rsid w:val="00D1204F"/>
    <w:rsid w:val="00D2431D"/>
    <w:rsid w:val="00D25640"/>
    <w:rsid w:val="00D31DAF"/>
    <w:rsid w:val="00D36447"/>
    <w:rsid w:val="00D506A3"/>
    <w:rsid w:val="00D52D3C"/>
    <w:rsid w:val="00D64A23"/>
    <w:rsid w:val="00D71B86"/>
    <w:rsid w:val="00D74D09"/>
    <w:rsid w:val="00D823AC"/>
    <w:rsid w:val="00D904BE"/>
    <w:rsid w:val="00DA1FFE"/>
    <w:rsid w:val="00DB4DB9"/>
    <w:rsid w:val="00DC071B"/>
    <w:rsid w:val="00DC0FCD"/>
    <w:rsid w:val="00DC1DCA"/>
    <w:rsid w:val="00DC712F"/>
    <w:rsid w:val="00DE0D58"/>
    <w:rsid w:val="00DF78C5"/>
    <w:rsid w:val="00E04120"/>
    <w:rsid w:val="00E05039"/>
    <w:rsid w:val="00E514E5"/>
    <w:rsid w:val="00E70368"/>
    <w:rsid w:val="00EA68CD"/>
    <w:rsid w:val="00EB1BE7"/>
    <w:rsid w:val="00EB566F"/>
    <w:rsid w:val="00ED4326"/>
    <w:rsid w:val="00ED7F39"/>
    <w:rsid w:val="00EE17D1"/>
    <w:rsid w:val="00F023B7"/>
    <w:rsid w:val="00F10C26"/>
    <w:rsid w:val="00F267D7"/>
    <w:rsid w:val="00F46EE1"/>
    <w:rsid w:val="00F47D91"/>
    <w:rsid w:val="00F76FE4"/>
    <w:rsid w:val="00F82331"/>
    <w:rsid w:val="00F940FD"/>
    <w:rsid w:val="00FE3863"/>
    <w:rsid w:val="00FF101B"/>
    <w:rsid w:val="00FF3CB8"/>
    <w:rsid w:val="00FF54A5"/>
    <w:rsid w:val="02D212D8"/>
    <w:rsid w:val="03035935"/>
    <w:rsid w:val="04A9250C"/>
    <w:rsid w:val="052C3E97"/>
    <w:rsid w:val="0599432F"/>
    <w:rsid w:val="06A4021B"/>
    <w:rsid w:val="07F452BA"/>
    <w:rsid w:val="08805A1F"/>
    <w:rsid w:val="0922463B"/>
    <w:rsid w:val="0AA47A31"/>
    <w:rsid w:val="0B645CFA"/>
    <w:rsid w:val="0B662F05"/>
    <w:rsid w:val="0B7304E9"/>
    <w:rsid w:val="0C253AD2"/>
    <w:rsid w:val="0C5965C6"/>
    <w:rsid w:val="0C6D6E67"/>
    <w:rsid w:val="0C774CF8"/>
    <w:rsid w:val="0C8A7261"/>
    <w:rsid w:val="0CBE6B71"/>
    <w:rsid w:val="0D5972D7"/>
    <w:rsid w:val="0DE819AF"/>
    <w:rsid w:val="0E8536A2"/>
    <w:rsid w:val="0E8C2C83"/>
    <w:rsid w:val="102C333C"/>
    <w:rsid w:val="11D755F1"/>
    <w:rsid w:val="123D1751"/>
    <w:rsid w:val="133631BD"/>
    <w:rsid w:val="13695774"/>
    <w:rsid w:val="146D2C0E"/>
    <w:rsid w:val="14C50C9C"/>
    <w:rsid w:val="16B73C96"/>
    <w:rsid w:val="17D905BB"/>
    <w:rsid w:val="180A58BE"/>
    <w:rsid w:val="18D417FF"/>
    <w:rsid w:val="1AF837C8"/>
    <w:rsid w:val="1C3C7CFB"/>
    <w:rsid w:val="1D8C2C2E"/>
    <w:rsid w:val="1F070103"/>
    <w:rsid w:val="1F8F4478"/>
    <w:rsid w:val="1F9D6372"/>
    <w:rsid w:val="20784E15"/>
    <w:rsid w:val="20F5421F"/>
    <w:rsid w:val="21DE4714"/>
    <w:rsid w:val="21E735F7"/>
    <w:rsid w:val="21F04E7F"/>
    <w:rsid w:val="22943A5C"/>
    <w:rsid w:val="23D85AC8"/>
    <w:rsid w:val="23DE7685"/>
    <w:rsid w:val="24785A5A"/>
    <w:rsid w:val="24DB07AE"/>
    <w:rsid w:val="2561056D"/>
    <w:rsid w:val="26393460"/>
    <w:rsid w:val="2654007B"/>
    <w:rsid w:val="277B67FF"/>
    <w:rsid w:val="27BA131D"/>
    <w:rsid w:val="28974A46"/>
    <w:rsid w:val="28B5297E"/>
    <w:rsid w:val="28D15A0A"/>
    <w:rsid w:val="28DB23E5"/>
    <w:rsid w:val="28E44A5A"/>
    <w:rsid w:val="29252E03"/>
    <w:rsid w:val="29C42E79"/>
    <w:rsid w:val="29FD282F"/>
    <w:rsid w:val="2A36189D"/>
    <w:rsid w:val="2B675EC2"/>
    <w:rsid w:val="2C962161"/>
    <w:rsid w:val="2D9E0C61"/>
    <w:rsid w:val="2F371689"/>
    <w:rsid w:val="30B73737"/>
    <w:rsid w:val="30C73E6F"/>
    <w:rsid w:val="33CA5530"/>
    <w:rsid w:val="33E365F1"/>
    <w:rsid w:val="346B6C5F"/>
    <w:rsid w:val="365B6913"/>
    <w:rsid w:val="372233FF"/>
    <w:rsid w:val="37495441"/>
    <w:rsid w:val="374C6EDF"/>
    <w:rsid w:val="37BD09EA"/>
    <w:rsid w:val="37E03E1A"/>
    <w:rsid w:val="381256F7"/>
    <w:rsid w:val="3825542A"/>
    <w:rsid w:val="38961E84"/>
    <w:rsid w:val="39444501"/>
    <w:rsid w:val="39665CFB"/>
    <w:rsid w:val="397A79F8"/>
    <w:rsid w:val="39A14595"/>
    <w:rsid w:val="3B070E17"/>
    <w:rsid w:val="3B2A2D58"/>
    <w:rsid w:val="3B497682"/>
    <w:rsid w:val="3B4A4316"/>
    <w:rsid w:val="3B7936BD"/>
    <w:rsid w:val="3C7544A7"/>
    <w:rsid w:val="3CFB49AC"/>
    <w:rsid w:val="3DB01C3A"/>
    <w:rsid w:val="3DEE4511"/>
    <w:rsid w:val="3E9C5D1B"/>
    <w:rsid w:val="3E9D6C16"/>
    <w:rsid w:val="3EC456A8"/>
    <w:rsid w:val="40290958"/>
    <w:rsid w:val="407B7706"/>
    <w:rsid w:val="417845B6"/>
    <w:rsid w:val="4191768D"/>
    <w:rsid w:val="42167C36"/>
    <w:rsid w:val="4340580E"/>
    <w:rsid w:val="45CC021D"/>
    <w:rsid w:val="4618037D"/>
    <w:rsid w:val="46897329"/>
    <w:rsid w:val="474C5D07"/>
    <w:rsid w:val="48410D08"/>
    <w:rsid w:val="48485B75"/>
    <w:rsid w:val="49F904C5"/>
    <w:rsid w:val="4B5736F5"/>
    <w:rsid w:val="4BBF129A"/>
    <w:rsid w:val="4C674BCD"/>
    <w:rsid w:val="4E0D2791"/>
    <w:rsid w:val="4E2C3FE3"/>
    <w:rsid w:val="51794F84"/>
    <w:rsid w:val="51E90E1F"/>
    <w:rsid w:val="54085ED4"/>
    <w:rsid w:val="547F63B0"/>
    <w:rsid w:val="55313209"/>
    <w:rsid w:val="598D4786"/>
    <w:rsid w:val="5A3E1708"/>
    <w:rsid w:val="5C814A76"/>
    <w:rsid w:val="5F427C98"/>
    <w:rsid w:val="607E307A"/>
    <w:rsid w:val="613F025D"/>
    <w:rsid w:val="61EA7522"/>
    <w:rsid w:val="625207B2"/>
    <w:rsid w:val="62872A91"/>
    <w:rsid w:val="62992AD8"/>
    <w:rsid w:val="63780255"/>
    <w:rsid w:val="637B26BA"/>
    <w:rsid w:val="638906B4"/>
    <w:rsid w:val="64D37E39"/>
    <w:rsid w:val="65B41784"/>
    <w:rsid w:val="65B55790"/>
    <w:rsid w:val="65C43C25"/>
    <w:rsid w:val="67803B7C"/>
    <w:rsid w:val="686314D3"/>
    <w:rsid w:val="692C3FBB"/>
    <w:rsid w:val="69674FF3"/>
    <w:rsid w:val="6A3526CB"/>
    <w:rsid w:val="6A81400C"/>
    <w:rsid w:val="6AB26742"/>
    <w:rsid w:val="6B97761A"/>
    <w:rsid w:val="6C3D25C6"/>
    <w:rsid w:val="6CF442A2"/>
    <w:rsid w:val="6D4C59E2"/>
    <w:rsid w:val="6E280B8B"/>
    <w:rsid w:val="6E4A0A40"/>
    <w:rsid w:val="6E9F2B3A"/>
    <w:rsid w:val="6FB17D87"/>
    <w:rsid w:val="70074E3A"/>
    <w:rsid w:val="70B70C0B"/>
    <w:rsid w:val="7124712B"/>
    <w:rsid w:val="720C1279"/>
    <w:rsid w:val="74980757"/>
    <w:rsid w:val="75D45A09"/>
    <w:rsid w:val="75DB3396"/>
    <w:rsid w:val="75EE75B6"/>
    <w:rsid w:val="76610CFB"/>
    <w:rsid w:val="77132317"/>
    <w:rsid w:val="788F1E71"/>
    <w:rsid w:val="79346574"/>
    <w:rsid w:val="79745DC9"/>
    <w:rsid w:val="79A8143C"/>
    <w:rsid w:val="7A7069A0"/>
    <w:rsid w:val="7B9638E8"/>
    <w:rsid w:val="7CAE7B82"/>
    <w:rsid w:val="7CD12A58"/>
    <w:rsid w:val="7DFD78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9"/>
    <w:pPr>
      <w:keepNext/>
      <w:keepLines/>
      <w:spacing w:before="100" w:after="100" w:line="500" w:lineRule="exact"/>
      <w:ind w:left="480" w:right="-16"/>
      <w:outlineLvl w:val="1"/>
    </w:pPr>
    <w:rPr>
      <w:rFonts w:ascii="宋体" w:hAnsi="宋体" w:eastAsia="华文中宋"/>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unhideWhenUsed/>
    <w:qFormat/>
    <w:uiPriority w:val="99"/>
    <w:pPr>
      <w:widowControl/>
      <w:spacing w:before="100" w:beforeAutospacing="1" w:after="100" w:afterAutospacing="1"/>
      <w:jc w:val="left"/>
    </w:pPr>
    <w:rPr>
      <w:rFonts w:ascii="微软雅黑" w:hAnsi="微软雅黑" w:cs="宋体"/>
      <w:kern w:val="0"/>
      <w:sz w:val="24"/>
    </w:rPr>
  </w:style>
  <w:style w:type="table" w:styleId="8">
    <w:name w:val="Table Grid"/>
    <w:basedOn w:val="7"/>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Char"/>
    <w:basedOn w:val="9"/>
    <w:link w:val="2"/>
    <w:qFormat/>
    <w:locked/>
    <w:uiPriority w:val="99"/>
    <w:rPr>
      <w:rFonts w:ascii="宋体" w:hAnsi="宋体" w:eastAsia="华文中宋" w:cs="Times New Roman"/>
      <w:b/>
      <w:snapToGrid w:val="0"/>
      <w:sz w:val="24"/>
      <w:szCs w:val="24"/>
    </w:rPr>
  </w:style>
  <w:style w:type="character" w:customStyle="1" w:styleId="11">
    <w:name w:val="页眉 Char"/>
    <w:basedOn w:val="9"/>
    <w:link w:val="4"/>
    <w:semiHidden/>
    <w:qFormat/>
    <w:locked/>
    <w:uiPriority w:val="99"/>
    <w:rPr>
      <w:rFonts w:cs="Times New Roman"/>
      <w:sz w:val="18"/>
      <w:szCs w:val="18"/>
    </w:rPr>
  </w:style>
  <w:style w:type="character" w:customStyle="1" w:styleId="12">
    <w:name w:val="页脚 Char"/>
    <w:basedOn w:val="9"/>
    <w:link w:val="3"/>
    <w:semiHidden/>
    <w:qFormat/>
    <w:locked/>
    <w:uiPriority w:val="99"/>
    <w:rPr>
      <w:rFonts w:cs="Times New Roman"/>
      <w:sz w:val="18"/>
      <w:szCs w:val="18"/>
    </w:rPr>
  </w:style>
  <w:style w:type="character" w:customStyle="1" w:styleId="13">
    <w:name w:val="HTML 预设格式 Char"/>
    <w:basedOn w:val="9"/>
    <w:link w:val="5"/>
    <w:qFormat/>
    <w:locked/>
    <w:uiPriority w:val="99"/>
    <w:rPr>
      <w:rFonts w:ascii="宋体" w:hAnsi="宋体" w:eastAsia="宋体" w:cs="宋体"/>
      <w:kern w:val="0"/>
      <w:sz w:val="24"/>
      <w:szCs w:val="24"/>
    </w:rPr>
  </w:style>
  <w:style w:type="paragraph" w:customStyle="1" w:styleId="14">
    <w:name w:val="p0"/>
    <w:basedOn w:val="1"/>
    <w:qFormat/>
    <w:uiPriority w:val="0"/>
    <w:pPr>
      <w:widowControl/>
      <w:snapToGrid w:val="0"/>
      <w:jc w:val="left"/>
    </w:pPr>
    <w:rPr>
      <w:rFonts w:ascii="宋体" w:hAnsi="宋体" w:cs="宋体"/>
      <w:kern w:val="0"/>
      <w:sz w:val="34"/>
      <w:szCs w:val="34"/>
    </w:rPr>
  </w:style>
  <w:style w:type="character" w:customStyle="1" w:styleId="15">
    <w:name w:val="font01"/>
    <w:basedOn w:val="9"/>
    <w:qFormat/>
    <w:uiPriority w:val="0"/>
    <w:rPr>
      <w:rFonts w:hint="eastAsia" w:ascii="宋体" w:hAnsi="宋体" w:eastAsia="宋体" w:cs="宋体"/>
      <w:color w:val="000000"/>
      <w:sz w:val="36"/>
      <w:szCs w:val="36"/>
      <w:u w:val="none"/>
    </w:rPr>
  </w:style>
  <w:style w:type="character" w:customStyle="1" w:styleId="16">
    <w:name w:val="font31"/>
    <w:basedOn w:val="9"/>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2</Pages>
  <Words>1781</Words>
  <Characters>2054</Characters>
  <Lines>16</Lines>
  <Paragraphs>4</Paragraphs>
  <TotalTime>90</TotalTime>
  <ScaleCrop>false</ScaleCrop>
  <LinksUpToDate>false</LinksUpToDate>
  <CharactersWithSpaces>2055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2025-01-15T06:53:00Z</dcterms:created>
  <dc:creator>总务处水电组</dc:creator>
  <cp:lastModifiedBy>文件传输助手</cp:lastModifiedBy>
  <cp:lastPrinted>2022-11-16T00:50:00Z</cp:lastPrinted>
  <dcterms:modified xsi:type="dcterms:W3CDTF">2025-02-12T00:44:23Z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4958946D547E45A2AB458B316E23FC86</vt:lpwstr>
  </property>
  <property fmtid="{D5CDD505-2E9C-101B-9397-08002B2CF9AE}" pid="4" name="KSOTemplateDocerSaveRecord">
    <vt:lpwstr>eyJoZGlkIjoiNmQzYTVmYzdmN2E5NDY4YjU5YzRiMmFlMzRjMDE3N2MiLCJ1c2VySWQiOiIxMjg0NzM5MDU1In0=</vt:lpwstr>
  </property>
</Properties>
</file>